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7A" w:rsidRPr="00C56582" w:rsidRDefault="009B37FE" w:rsidP="00112E7A">
      <w:pPr>
        <w:widowControl w:val="0"/>
        <w:spacing w:before="120" w:after="120" w:line="249" w:lineRule="auto"/>
        <w:ind w:firstLine="540"/>
        <w:jc w:val="both"/>
        <w:rPr>
          <w:rFonts w:ascii="Times New Roman" w:hAnsi="Times New Roman"/>
          <w:b/>
          <w:iCs/>
          <w:sz w:val="28"/>
          <w:szCs w:val="28"/>
          <w:lang w:val="de-DE"/>
        </w:rPr>
      </w:pPr>
      <w:r w:rsidRPr="009B37FE">
        <w:rPr>
          <w:rFonts w:ascii="Times New Roman" w:hAnsi="Times New Roman"/>
          <w:b/>
          <w:iCs/>
          <w:sz w:val="28"/>
          <w:szCs w:val="28"/>
          <w:u w:val="single"/>
        </w:rPr>
        <w:t xml:space="preserve">Thủ </w:t>
      </w:r>
      <w:proofErr w:type="gramStart"/>
      <w:r w:rsidRPr="009B37FE">
        <w:rPr>
          <w:rFonts w:ascii="Times New Roman" w:hAnsi="Times New Roman"/>
          <w:b/>
          <w:iCs/>
          <w:sz w:val="28"/>
          <w:szCs w:val="28"/>
          <w:u w:val="single"/>
        </w:rPr>
        <w:t>tụ</w:t>
      </w:r>
      <w:r w:rsidR="00C05F2C">
        <w:rPr>
          <w:rFonts w:ascii="Times New Roman" w:hAnsi="Times New Roman"/>
          <w:b/>
          <w:iCs/>
          <w:sz w:val="28"/>
          <w:szCs w:val="28"/>
          <w:u w:val="single"/>
        </w:rPr>
        <w:t xml:space="preserve">c </w:t>
      </w:r>
      <w:r w:rsidRPr="009B37FE">
        <w:rPr>
          <w:rFonts w:ascii="Times New Roman" w:hAnsi="Times New Roman"/>
          <w:b/>
          <w:iCs/>
          <w:sz w:val="28"/>
          <w:szCs w:val="28"/>
          <w:u w:val="single"/>
        </w:rPr>
        <w:t xml:space="preserve"> </w:t>
      </w:r>
      <w:r w:rsidR="00C04DD8">
        <w:rPr>
          <w:rFonts w:ascii="Times New Roman" w:hAnsi="Times New Roman"/>
          <w:b/>
          <w:iCs/>
          <w:sz w:val="28"/>
          <w:szCs w:val="28"/>
          <w:u w:val="single"/>
        </w:rPr>
        <w:t>6</w:t>
      </w:r>
      <w:proofErr w:type="gramEnd"/>
      <w:r w:rsidR="00112E7A" w:rsidRPr="00112E7A">
        <w:rPr>
          <w:rFonts w:ascii="Times New Roman" w:hAnsi="Times New Roman"/>
          <w:b/>
          <w:iCs/>
          <w:sz w:val="28"/>
          <w:szCs w:val="28"/>
          <w:lang w:val="vi-VN"/>
        </w:rPr>
        <w:t xml:space="preserve">. </w:t>
      </w:r>
      <w:r w:rsidR="00112E7A">
        <w:rPr>
          <w:rFonts w:ascii="Times New Roman" w:hAnsi="Times New Roman"/>
          <w:b/>
          <w:iCs/>
          <w:sz w:val="28"/>
          <w:szCs w:val="28"/>
        </w:rPr>
        <w:t xml:space="preserve"> </w:t>
      </w:r>
      <w:r w:rsidR="00112E7A" w:rsidRPr="00112E7A">
        <w:rPr>
          <w:rFonts w:ascii="Times New Roman" w:hAnsi="Times New Roman"/>
          <w:b/>
          <w:iCs/>
          <w:sz w:val="28"/>
          <w:szCs w:val="28"/>
          <w:lang w:val="de-DE"/>
        </w:rPr>
        <w:t xml:space="preserve">Thủ tục </w:t>
      </w:r>
      <w:r w:rsidR="00112E7A" w:rsidRPr="00112E7A">
        <w:rPr>
          <w:rFonts w:ascii="Times New Roman" w:hAnsi="Times New Roman"/>
          <w:b/>
          <w:iCs/>
          <w:sz w:val="28"/>
          <w:szCs w:val="28"/>
          <w:lang w:val="vi-VN"/>
        </w:rPr>
        <w:t xml:space="preserve">điều chỉnh dự án đầu tư trong trường hợp nhà đầu tư nhận chuyển nhượng dự án đầu tư là tài sản đảm bảo </w:t>
      </w:r>
      <w:r w:rsidR="00112E7A" w:rsidRPr="00112E7A">
        <w:rPr>
          <w:rFonts w:ascii="Times New Roman" w:hAnsi="Times New Roman"/>
          <w:b/>
          <w:iCs/>
          <w:sz w:val="28"/>
          <w:szCs w:val="28"/>
          <w:shd w:val="clear" w:color="auto" w:fill="FFFFFF"/>
          <w:lang w:val="sv-SE"/>
        </w:rPr>
        <w:t xml:space="preserve">đối với dự án đầu tư </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112E7A"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Bên nhận bảo đảm hoặc nhà đầu tư nhận chuyển nhượng dự án đầu tư nộp hồ sơ theo quy định tại khoản 3 Điều 49 Nghị định số 31/2021/NĐ-CP cho </w:t>
      </w:r>
      <w:r>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Pr>
          <w:rFonts w:ascii="Times New Roman" w:hAnsi="Times New Roman"/>
          <w:sz w:val="28"/>
          <w:szCs w:val="28"/>
          <w:lang w:val="vi-VN"/>
        </w:rPr>
        <w:t>.</w:t>
      </w:r>
    </w:p>
    <w:p w:rsidR="00112E7A" w:rsidRDefault="00112E7A" w:rsidP="00112E7A">
      <w:pPr>
        <w:widowControl w:val="0"/>
        <w:spacing w:before="6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vi-VN"/>
        </w:rPr>
        <w:t xml:space="preserve"> </w:t>
      </w:r>
      <w:r>
        <w:rPr>
          <w:rFonts w:ascii="Times New Roman" w:hAnsi="Times New Roman"/>
          <w:sz w:val="28"/>
          <w:szCs w:val="28"/>
          <w:lang w:val="vi-VN"/>
        </w:rPr>
        <w:t>quyết đị</w:t>
      </w:r>
      <w:r w:rsidR="00C04DD8">
        <w:rPr>
          <w:rFonts w:ascii="Times New Roman" w:hAnsi="Times New Roman"/>
          <w:sz w:val="28"/>
          <w:szCs w:val="28"/>
          <w:lang w:val="vi-VN"/>
        </w:rPr>
        <w:t>nh ch</w:t>
      </w:r>
      <w:r w:rsidR="00C04DD8" w:rsidRPr="00C04DD8">
        <w:rPr>
          <w:rFonts w:ascii="Times New Roman" w:hAnsi="Times New Roman"/>
          <w:sz w:val="28"/>
          <w:szCs w:val="28"/>
          <w:lang w:val="sv-SE"/>
        </w:rPr>
        <w:t>ấ</w:t>
      </w:r>
      <w:r>
        <w:rPr>
          <w:rFonts w:ascii="Times New Roman" w:hAnsi="Times New Roman"/>
          <w:sz w:val="28"/>
          <w:szCs w:val="28"/>
          <w:lang w:val="vi-VN"/>
        </w:rPr>
        <w:t xml:space="preserve">p thuận </w:t>
      </w:r>
      <w:r w:rsidR="00C04DD8">
        <w:rPr>
          <w:rFonts w:ascii="Times New Roman" w:hAnsi="Times New Roman"/>
          <w:sz w:val="28"/>
          <w:szCs w:val="28"/>
          <w:lang w:val="sv-SE"/>
        </w:rPr>
        <w:t xml:space="preserve">điều chỉnh chủ trương đầu tư. </w:t>
      </w:r>
    </w:p>
    <w:p w:rsidR="00112E7A" w:rsidRDefault="00112E7A" w:rsidP="00112E7A">
      <w:pPr>
        <w:widowControl w:val="0"/>
        <w:spacing w:before="120" w:line="249" w:lineRule="auto"/>
        <w:ind w:firstLine="540"/>
        <w:jc w:val="both"/>
        <w:rPr>
          <w:rFonts w:ascii="Times New Roman" w:hAnsi="Times New Roman"/>
          <w:bCs/>
          <w:sz w:val="28"/>
          <w:szCs w:val="28"/>
          <w:lang w:val="vi-VN"/>
        </w:rPr>
      </w:pPr>
      <w:r w:rsidRPr="00C36BDB">
        <w:rPr>
          <w:rFonts w:ascii="Times New Roman" w:hAnsi="Times New Roman"/>
          <w:sz w:val="28"/>
          <w:szCs w:val="28"/>
          <w:shd w:val="clear" w:color="auto" w:fill="FFFFFF"/>
          <w:lang w:val="sv-SE"/>
        </w:rPr>
        <w:t xml:space="preserve">* </w:t>
      </w:r>
      <w:r>
        <w:rPr>
          <w:rFonts w:ascii="Times New Roman" w:hAnsi="Times New Roman"/>
          <w:sz w:val="28"/>
          <w:szCs w:val="28"/>
          <w:shd w:val="clear" w:color="auto" w:fill="FFFFFF"/>
          <w:lang w:val="vi-VN"/>
        </w:rPr>
        <w:t>Đối với dự án đầu tư đã được chấp thuận chủ trương đầu tư</w:t>
      </w:r>
      <w:r w:rsidRPr="00C36BDB">
        <w:rPr>
          <w:rFonts w:ascii="Times New Roman" w:hAnsi="Times New Roman"/>
          <w:sz w:val="28"/>
          <w:szCs w:val="28"/>
          <w:shd w:val="clear" w:color="auto" w:fill="FFFFFF"/>
          <w:lang w:val="sv-SE"/>
        </w:rPr>
        <w:t xml:space="preserve"> và </w:t>
      </w:r>
      <w:r>
        <w:rPr>
          <w:rFonts w:ascii="Times New Roman" w:hAnsi="Times New Roman"/>
          <w:sz w:val="28"/>
          <w:szCs w:val="28"/>
          <w:shd w:val="clear" w:color="auto" w:fill="FFFFFF"/>
          <w:lang w:val="vi-VN"/>
        </w:rPr>
        <w:t>đã đưa dự án vào khai thác, vận hành thì không phải thực hiện thủ tục chấp thuận điều chỉnh chủ trương đầu tư khi chuyển nhượng dự án đầu tư.</w:t>
      </w:r>
    </w:p>
    <w:p w:rsidR="00112E7A" w:rsidRDefault="00112E7A" w:rsidP="00112E7A">
      <w:pPr>
        <w:tabs>
          <w:tab w:val="left" w:pos="567"/>
        </w:tabs>
        <w:spacing w:before="120" w:line="340" w:lineRule="exact"/>
        <w:ind w:firstLine="567"/>
        <w:jc w:val="both"/>
        <w:rPr>
          <w:rFonts w:ascii="Times New Roman" w:hAnsi="Times New Roman"/>
          <w:sz w:val="28"/>
          <w:szCs w:val="28"/>
          <w:lang w:val="sv-SE"/>
        </w:rPr>
      </w:pPr>
      <w:r w:rsidRPr="00C36BDB">
        <w:rPr>
          <w:rFonts w:ascii="Times New Roman" w:hAnsi="Times New Roman"/>
          <w:sz w:val="28"/>
          <w:szCs w:val="28"/>
          <w:lang w:val="vi-VN"/>
        </w:rPr>
        <w:t xml:space="preserve">* </w:t>
      </w:r>
      <w:r>
        <w:rPr>
          <w:rFonts w:ascii="Times New Roman" w:hAnsi="Times New Roman"/>
          <w:sz w:val="28"/>
          <w:szCs w:val="28"/>
          <w:lang w:val="vi-VN"/>
        </w:rPr>
        <w:t xml:space="preserve">Đối với dự án đầu tư thực hiện trước ngày </w:t>
      </w:r>
      <w:r>
        <w:rPr>
          <w:rFonts w:ascii="Times New Roman" w:hAnsi="Times New Roman"/>
          <w:sz w:val="28"/>
          <w:szCs w:val="28"/>
          <w:lang w:val="sv-SE"/>
        </w:rPr>
        <w:t>Luật Đầu tư có hiệu lực thi hành, thủ tục điều chỉnh dự án thực hiện theo quy định tại Điều 11</w:t>
      </w:r>
      <w:r>
        <w:rPr>
          <w:rFonts w:ascii="Times New Roman" w:hAnsi="Times New Roman"/>
          <w:sz w:val="28"/>
          <w:szCs w:val="28"/>
          <w:lang w:val="vi-VN"/>
        </w:rPr>
        <w:t>7 của Nghị định</w:t>
      </w:r>
      <w:r>
        <w:rPr>
          <w:rFonts w:ascii="Times New Roman" w:hAnsi="Times New Roman"/>
          <w:sz w:val="28"/>
          <w:szCs w:val="28"/>
          <w:lang w:val="sv-SE"/>
        </w:rPr>
        <w:t xml:space="preserve"> số 31/2021/NĐ-CP.</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112E7A" w:rsidRDefault="00112E7A" w:rsidP="00112E7A">
      <w:pPr>
        <w:widowControl w:val="0"/>
        <w:spacing w:before="60" w:line="360" w:lineRule="exact"/>
        <w:ind w:firstLine="567"/>
        <w:jc w:val="both"/>
        <w:rPr>
          <w:rFonts w:ascii="Times New Roman" w:hAnsi="Times New Roman"/>
          <w:sz w:val="28"/>
          <w:szCs w:val="28"/>
        </w:rPr>
      </w:pPr>
      <w:r>
        <w:rPr>
          <w:rFonts w:ascii="Times New Roman" w:hAnsi="Times New Roman"/>
          <w:sz w:val="28"/>
          <w:szCs w:val="28"/>
        </w:rPr>
        <w:t>- Trực tiếp tại Ban Quản lý các khu công nghiệp.</w:t>
      </w:r>
    </w:p>
    <w:p w:rsidR="00112E7A" w:rsidRDefault="00112E7A" w:rsidP="00112E7A">
      <w:pPr>
        <w:widowControl w:val="0"/>
        <w:spacing w:before="60" w:line="360" w:lineRule="exact"/>
        <w:ind w:firstLine="567"/>
        <w:jc w:val="both"/>
        <w:rPr>
          <w:rFonts w:ascii="Times New Roman" w:hAnsi="Times New Roman"/>
          <w:sz w:val="28"/>
          <w:szCs w:val="28"/>
          <w:lang w:val="es-ES"/>
        </w:rPr>
      </w:pPr>
      <w:r>
        <w:rPr>
          <w:rFonts w:ascii="Times New Roman" w:hAnsi="Times New Roman"/>
          <w:sz w:val="28"/>
          <w:szCs w:val="28"/>
        </w:rPr>
        <w:t>- Qua dịch vụ bưu chính công ích.</w:t>
      </w:r>
    </w:p>
    <w:p w:rsidR="00112E7A" w:rsidRDefault="00112E7A" w:rsidP="00112E7A">
      <w:pPr>
        <w:widowControl w:val="0"/>
        <w:spacing w:before="6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es-ES"/>
        </w:rPr>
        <w:t>-</w:t>
      </w:r>
      <w:r>
        <w:rPr>
          <w:rFonts w:ascii="Times New Roman" w:hAnsi="Times New Roman"/>
          <w:bCs/>
          <w:sz w:val="28"/>
          <w:szCs w:val="28"/>
          <w:lang w:val="vi-VN"/>
        </w:rPr>
        <w:t xml:space="preserve"> Văn bản đề nghị điều chỉnh dự án đầu tư;</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Hợp đồng chuyển nhượng dự án đầu tư giữa </w:t>
      </w:r>
      <w:r>
        <w:rPr>
          <w:rFonts w:ascii="Times New Roman" w:hAnsi="Times New Roman"/>
          <w:sz w:val="28"/>
          <w:szCs w:val="28"/>
          <w:shd w:val="clear" w:color="auto" w:fill="FFFFFF"/>
          <w:lang w:val="vi-VN"/>
        </w:rPr>
        <w:t>bên nhận bảo đảm</w:t>
      </w:r>
      <w:r>
        <w:rPr>
          <w:rFonts w:ascii="Times New Roman" w:hAnsi="Times New Roman"/>
          <w:bCs/>
          <w:sz w:val="28"/>
          <w:szCs w:val="28"/>
          <w:lang w:val="vi-VN"/>
        </w:rPr>
        <w:t xml:space="preserve"> và nhà đầu tư nhận chuyển nhượng;</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w:t>
      </w:r>
      <w:r w:rsidRPr="00C36BDB">
        <w:rPr>
          <w:rFonts w:ascii="Times New Roman" w:hAnsi="Times New Roman"/>
          <w:bCs/>
          <w:sz w:val="28"/>
          <w:szCs w:val="28"/>
          <w:lang w:val="vi-VN"/>
        </w:rPr>
        <w:t>Hợp đồng cho vay hoặc hợp đồng cấp tín dụng hoặc hợp đồng mua bán nợ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Hợp đồng hoặc văn bản xác nhận giao dịch bảo đảm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Văn bản xác nhận trúng đấu giá trong trường hợp bên nhận bảo đảm, cơ quan thi hành án dân sự bán đấu giá tài sản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bCs/>
          <w:sz w:val="28"/>
          <w:szCs w:val="28"/>
          <w:lang w:val="vi-VN"/>
        </w:rPr>
        <w:t>- Bản sao tài liệu về tư cách pháp lý của nhà đầu tư chuyển nhượng và nhà đầu tư nhận chuyển nhượng</w:t>
      </w:r>
      <w:r>
        <w:rPr>
          <w:rFonts w:ascii="Times New Roman" w:hAnsi="Times New Roman"/>
          <w:sz w:val="28"/>
          <w:szCs w:val="28"/>
          <w:shd w:val="clear" w:color="auto" w:fill="FFFFFF"/>
          <w:lang w:val="vi-VN"/>
        </w:rPr>
        <w:t xml:space="preserve">; </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lastRenderedPageBreak/>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Văn bản xác nhận của bên nhận </w:t>
      </w:r>
      <w:r>
        <w:rPr>
          <w:rFonts w:ascii="Times New Roman" w:hAnsi="Times New Roman"/>
          <w:bCs/>
          <w:sz w:val="28"/>
          <w:szCs w:val="28"/>
          <w:lang w:val="vi-VN"/>
        </w:rPr>
        <w:t>bảo đảm về tình trạng pháp lý của tài sản bảo đảm.</w:t>
      </w:r>
    </w:p>
    <w:p w:rsidR="00112E7A" w:rsidRPr="00C36BDB"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vi-VN"/>
        </w:rPr>
        <w:t xml:space="preserve">04 bộ hồ sơ. </w:t>
      </w:r>
    </w:p>
    <w:p w:rsidR="00112E7A" w:rsidRDefault="00112E7A" w:rsidP="00112E7A">
      <w:pPr>
        <w:widowControl w:val="0"/>
        <w:overflowPunct w:val="0"/>
        <w:autoSpaceDE w:val="0"/>
        <w:autoSpaceDN w:val="0"/>
        <w:adjustRightInd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9C7585">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sidR="002B4E89">
        <w:rPr>
          <w:rFonts w:ascii="Times New Roman" w:hAnsi="Times New Roman"/>
          <w:sz w:val="28"/>
          <w:szCs w:val="28"/>
          <w:lang w:val="sv-SE"/>
        </w:rPr>
        <w:t xml:space="preserve">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2B4E89">
        <w:rPr>
          <w:rFonts w:ascii="Times New Roman" w:hAnsi="Times New Roman"/>
          <w:sz w:val="28"/>
          <w:szCs w:val="28"/>
          <w:lang w:val="sv-SE"/>
        </w:rPr>
        <w:t>07</w:t>
      </w:r>
      <w:r>
        <w:rPr>
          <w:rFonts w:ascii="Times New Roman" w:hAnsi="Times New Roman"/>
          <w:sz w:val="28"/>
          <w:szCs w:val="28"/>
          <w:lang w:val="sv-SE"/>
        </w:rPr>
        <w:t xml:space="preserve"> ngày </w:t>
      </w:r>
      <w:r w:rsidR="002B4E8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các cơ quan được lấy ý kiến có ý kiến về nội dung điều chỉnh dự án thuộc phạm vi quản lý nhà nước của cơ quan đó; </w:t>
      </w:r>
    </w:p>
    <w:p w:rsidR="00112E7A" w:rsidRP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2B4E89">
        <w:rPr>
          <w:rFonts w:ascii="Times New Roman" w:hAnsi="Times New Roman"/>
          <w:sz w:val="28"/>
          <w:szCs w:val="28"/>
          <w:lang w:val="sv-SE"/>
        </w:rPr>
        <w:t>18</w:t>
      </w:r>
      <w:r>
        <w:rPr>
          <w:rFonts w:ascii="Times New Roman" w:hAnsi="Times New Roman"/>
          <w:sz w:val="28"/>
          <w:szCs w:val="28"/>
          <w:lang w:val="sv-SE"/>
        </w:rPr>
        <w:t xml:space="preserve"> ngày </w:t>
      </w:r>
      <w:r w:rsidR="002B4E89">
        <w:rPr>
          <w:rFonts w:ascii="Times New Roman" w:hAnsi="Times New Roman"/>
          <w:sz w:val="28"/>
          <w:szCs w:val="28"/>
          <w:lang w:val="sv-SE"/>
        </w:rPr>
        <w:t xml:space="preserve">làm việc </w:t>
      </w:r>
      <w:r>
        <w:rPr>
          <w:rFonts w:ascii="Times New Roman" w:hAnsi="Times New Roman"/>
          <w:sz w:val="28"/>
          <w:szCs w:val="28"/>
          <w:lang w:val="sv-SE"/>
        </w:rPr>
        <w:t xml:space="preserve">kể từ ngày nhận được hồ sơ hợp lệ, </w:t>
      </w:r>
      <w:r w:rsidR="002B4E89">
        <w:rPr>
          <w:rFonts w:ascii="Times New Roman" w:hAnsi="Times New Roman"/>
          <w:sz w:val="28"/>
          <w:szCs w:val="28"/>
          <w:lang w:val="vi-VN"/>
        </w:rPr>
        <w:t>Ban Quản lý</w:t>
      </w:r>
      <w:r w:rsidR="002B4E89">
        <w:rPr>
          <w:rFonts w:ascii="Times New Roman" w:hAnsi="Times New Roman"/>
          <w:sz w:val="28"/>
          <w:szCs w:val="28"/>
        </w:rPr>
        <w:t xml:space="preserve"> các khu công nghiệp</w:t>
      </w:r>
      <w:r>
        <w:rPr>
          <w:rFonts w:ascii="Times New Roman" w:hAnsi="Times New Roman"/>
          <w:sz w:val="28"/>
          <w:szCs w:val="28"/>
          <w:lang w:val="vi-VN"/>
        </w:rPr>
        <w:t xml:space="preserve"> </w:t>
      </w:r>
      <w:r>
        <w:rPr>
          <w:rFonts w:ascii="Times New Roman" w:hAnsi="Times New Roman"/>
          <w:sz w:val="28"/>
          <w:szCs w:val="28"/>
          <w:lang w:val="sv-SE"/>
        </w:rPr>
        <w:t>quyết định chấp thuận điều chỉnh chủ trương đầu tư</w:t>
      </w:r>
      <w:r w:rsidR="00C04DD8" w:rsidRPr="00C04DD8">
        <w:rPr>
          <w:rFonts w:ascii="Times New Roman" w:hAnsi="Times New Roman"/>
          <w:sz w:val="28"/>
          <w:szCs w:val="28"/>
          <w:lang w:val="sv-SE"/>
        </w:rPr>
        <w:t>.</w:t>
      </w:r>
    </w:p>
    <w:p w:rsidR="00112E7A" w:rsidRDefault="00112E7A" w:rsidP="00112E7A">
      <w:pPr>
        <w:widowControl w:val="0"/>
        <w:spacing w:before="6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112E7A" w:rsidRPr="00C36BDB" w:rsidRDefault="002B4E89" w:rsidP="00C04DD8">
      <w:pPr>
        <w:widowControl w:val="0"/>
        <w:shd w:val="clear" w:color="auto" w:fill="FFFFFF"/>
        <w:spacing w:before="60" w:line="360" w:lineRule="exact"/>
        <w:ind w:firstLine="709"/>
        <w:jc w:val="both"/>
        <w:rPr>
          <w:rFonts w:ascii="Times New Roman" w:hAnsi="Times New Roman"/>
          <w:spacing w:val="6"/>
          <w:sz w:val="28"/>
          <w:szCs w:val="28"/>
          <w:lang w:val="vi-VN"/>
        </w:rPr>
      </w:pPr>
      <w:r>
        <w:rPr>
          <w:rFonts w:ascii="Times New Roman" w:hAnsi="Times New Roman"/>
          <w:sz w:val="28"/>
          <w:szCs w:val="28"/>
          <w:lang w:val="vi-VN"/>
        </w:rPr>
        <w:t>Ban Quản lý</w:t>
      </w:r>
      <w:r>
        <w:rPr>
          <w:rFonts w:ascii="Times New Roman" w:hAnsi="Times New Roman"/>
          <w:sz w:val="28"/>
          <w:szCs w:val="28"/>
        </w:rPr>
        <w:t xml:space="preserve"> các khu công nghiệp</w:t>
      </w:r>
      <w:r w:rsidRPr="00C36BDB">
        <w:rPr>
          <w:rFonts w:ascii="Times New Roman" w:hAnsi="Times New Roman"/>
          <w:sz w:val="28"/>
          <w:szCs w:val="28"/>
          <w:lang w:val="de-DE"/>
        </w:rPr>
        <w:t xml:space="preserve"> </w:t>
      </w:r>
      <w:r w:rsidR="00112E7A" w:rsidRPr="00C36BDB">
        <w:rPr>
          <w:rFonts w:ascii="Times New Roman" w:hAnsi="Times New Roman"/>
          <w:sz w:val="28"/>
          <w:szCs w:val="28"/>
          <w:lang w:val="de-DE"/>
        </w:rPr>
        <w:t xml:space="preserve">tiếp nhận hồ sơ, lấy ý kiến thẩm định và </w:t>
      </w:r>
      <w:r w:rsidR="00112E7A" w:rsidRPr="00C36BDB">
        <w:rPr>
          <w:rFonts w:ascii="Times New Roman" w:hAnsi="Times New Roman"/>
          <w:spacing w:val="6"/>
          <w:sz w:val="28"/>
          <w:szCs w:val="28"/>
          <w:lang w:val="vi-VN"/>
        </w:rPr>
        <w:t>quyết định chấp thuận điều chỉnh chủ trương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Nhà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112E7A" w:rsidRDefault="00112E7A" w:rsidP="00112E7A">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112E7A" w:rsidRDefault="00112E7A" w:rsidP="00112E7A">
      <w:pPr>
        <w:widowControl w:val="0"/>
        <w:spacing w:before="6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112E7A" w:rsidRDefault="00112E7A" w:rsidP="00112E7A">
      <w:pPr>
        <w:widowControl w:val="0"/>
        <w:spacing w:before="6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A.I.11.c ban hành kèm 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112E7A" w:rsidRDefault="00112E7A" w:rsidP="00112E7A">
      <w:pPr>
        <w:widowControl w:val="0"/>
        <w:spacing w:before="6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lastRenderedPageBreak/>
        <w:t>-</w:t>
      </w:r>
      <w:r>
        <w:rPr>
          <w:rFonts w:ascii="Times New Roman" w:hAnsi="Times New Roman"/>
          <w:sz w:val="28"/>
          <w:szCs w:val="28"/>
          <w:lang w:val="vi-VN"/>
        </w:rPr>
        <w:t xml:space="preserve"> Đối với dự án đầu tư đã được chấp thuận chủ trương đầu tư đồng thời với chấp thuận nhà đầu tư mà chuyển nhượng toàn bộ dự án đầu tư thuộc trường hợp quy định tại điểm g khoản 3 Điều 41 của Luật Đầu tư, bên nhận bảo đảm hoặc nhà đầu tư nhận chuyển nhượng dự án đầu tư nộp hồ sơ quy định tại khoản 3 Điều </w:t>
      </w:r>
      <w:r w:rsidRPr="00C36BDB">
        <w:rPr>
          <w:rFonts w:ascii="Times New Roman" w:hAnsi="Times New Roman"/>
          <w:sz w:val="28"/>
          <w:szCs w:val="28"/>
          <w:lang w:val="de-DE"/>
        </w:rPr>
        <w:t>49 Nghị định số 31/2021/NĐ-CP</w:t>
      </w:r>
      <w:r>
        <w:rPr>
          <w:rFonts w:ascii="Times New Roman" w:hAnsi="Times New Roman"/>
          <w:sz w:val="28"/>
          <w:szCs w:val="28"/>
          <w:lang w:val="vi-VN"/>
        </w:rPr>
        <w:t xml:space="preserve"> và thực hiện thủ tục điều chỉnh dự án theo quy định tương ứng tại các Điều 44, 45 và 46 của Nghị định </w:t>
      </w:r>
      <w:r w:rsidRPr="00C36BDB">
        <w:rPr>
          <w:rFonts w:ascii="Times New Roman" w:hAnsi="Times New Roman"/>
          <w:sz w:val="28"/>
          <w:szCs w:val="28"/>
          <w:lang w:val="de-DE"/>
        </w:rPr>
        <w:t>số 31/2021/NĐ-CP</w:t>
      </w:r>
      <w:r>
        <w:rPr>
          <w:rFonts w:ascii="Times New Roman" w:hAnsi="Times New Roman"/>
          <w:sz w:val="28"/>
          <w:szCs w:val="28"/>
          <w:lang w:val="vi-VN"/>
        </w:rPr>
        <w:t>;</w:t>
      </w:r>
    </w:p>
    <w:p w:rsidR="00112E7A" w:rsidRDefault="00112E7A" w:rsidP="00112E7A">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Đối với dự án đầu tư đã được chấp thuận chủ trương đầu tư mà việc chuyển nhượng dự án làm thay đổi nội dung chấp thuận chủ trương đầu tư thuộc một trong các trường hợp quy định tại các điểm a, b, c, d, đ và e khoản 3 Điều 41 của Luật Đầu tư, thủ tục điều chỉnh dự án khi chuyển nhượng thực hiện theo quy định tương ứng tại các Điều 44, 45 và 46 của Nghị định </w:t>
      </w:r>
      <w:r w:rsidRPr="00C36BDB">
        <w:rPr>
          <w:rFonts w:ascii="Times New Roman" w:hAnsi="Times New Roman"/>
          <w:sz w:val="28"/>
          <w:szCs w:val="28"/>
          <w:lang w:val="vi-VN"/>
        </w:rPr>
        <w:t>số 31/2021/NĐ-CP</w:t>
      </w:r>
      <w:r>
        <w:rPr>
          <w:rFonts w:ascii="Times New Roman" w:hAnsi="Times New Roman"/>
          <w:sz w:val="28"/>
          <w:szCs w:val="28"/>
          <w:lang w:val="vi-VN"/>
        </w:rPr>
        <w:t xml:space="preserve">, trừ trường hợp quy định tại khoản 5 Điều </w:t>
      </w:r>
      <w:r w:rsidRPr="00C36BDB">
        <w:rPr>
          <w:rFonts w:ascii="Times New Roman" w:hAnsi="Times New Roman"/>
          <w:sz w:val="28"/>
          <w:szCs w:val="28"/>
          <w:lang w:val="vi-VN"/>
        </w:rPr>
        <w:t xml:space="preserve">49 </w:t>
      </w:r>
      <w:r>
        <w:rPr>
          <w:rFonts w:ascii="Times New Roman" w:hAnsi="Times New Roman"/>
          <w:sz w:val="28"/>
          <w:szCs w:val="28"/>
          <w:lang w:val="vi-VN"/>
        </w:rPr>
        <w:t xml:space="preserve">Nghị định </w:t>
      </w:r>
      <w:r w:rsidRPr="00C36BDB">
        <w:rPr>
          <w:rFonts w:ascii="Times New Roman" w:hAnsi="Times New Roman"/>
          <w:sz w:val="28"/>
          <w:szCs w:val="28"/>
          <w:lang w:val="vi-VN"/>
        </w:rPr>
        <w:t>số 31/2021/NĐ-CP</w:t>
      </w:r>
      <w:r>
        <w:rPr>
          <w:rFonts w:ascii="Times New Roman" w:hAnsi="Times New Roman"/>
          <w:sz w:val="28"/>
          <w:szCs w:val="28"/>
          <w:lang w:val="vi-VN"/>
        </w:rPr>
        <w:t>.</w:t>
      </w:r>
    </w:p>
    <w:p w:rsidR="009B37FE" w:rsidRPr="00B539C2" w:rsidRDefault="009B37FE" w:rsidP="00112E7A">
      <w:pPr>
        <w:widowControl w:val="0"/>
        <w:spacing w:before="120" w:after="120" w:line="250" w:lineRule="auto"/>
        <w:ind w:firstLine="540"/>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/QH13 ngày 26</w:t>
      </w:r>
      <w:r w:rsidRPr="008F5ABD">
        <w:rPr>
          <w:rFonts w:ascii="Times New Roman" w:hAnsi="Times New Roman"/>
          <w:sz w:val="28"/>
          <w:szCs w:val="28"/>
          <w:lang w:val="de-DE"/>
        </w:rPr>
        <w:t>/11/2020</w:t>
      </w:r>
      <w:r w:rsidRPr="00B539C2">
        <w:rPr>
          <w:rFonts w:ascii="Times New Roman" w:hAnsi="Times New Roman"/>
          <w:sz w:val="28"/>
          <w:szCs w:val="28"/>
          <w:lang w:val="vi-VN"/>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de-DE"/>
        </w:rPr>
        <w:t>31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/NĐ-CP ngày 2</w:t>
      </w:r>
      <w:r w:rsidRPr="008F5ABD">
        <w:rPr>
          <w:rFonts w:ascii="Times New Roman" w:hAnsi="Times New Roman"/>
          <w:sz w:val="28"/>
          <w:szCs w:val="28"/>
          <w:lang w:val="de-DE"/>
        </w:rPr>
        <w:t>6/3/2021;</w:t>
      </w:r>
    </w:p>
    <w:p w:rsidR="009B37FE" w:rsidRDefault="009B37FE" w:rsidP="009B37FE">
      <w:pPr>
        <w:widowControl w:val="0"/>
        <w:spacing w:before="80" w:after="80" w:line="240" w:lineRule="auto"/>
        <w:ind w:firstLine="567"/>
        <w:jc w:val="both"/>
        <w:rPr>
          <w:rFonts w:ascii="Times New Roman" w:hAnsi="Times New Roman"/>
          <w:sz w:val="28"/>
          <w:szCs w:val="28"/>
          <w:lang w:val="de-DE"/>
        </w:rPr>
      </w:pPr>
      <w:r w:rsidRPr="008F5ABD">
        <w:rPr>
          <w:rFonts w:ascii="Times New Roman" w:hAnsi="Times New Roman"/>
          <w:sz w:val="28"/>
          <w:szCs w:val="28"/>
          <w:lang w:val="de-DE"/>
        </w:rPr>
        <w:t>- Thông tư số</w:t>
      </w:r>
      <w:r w:rsidR="002B4E89">
        <w:rPr>
          <w:rFonts w:ascii="Times New Roman" w:hAnsi="Times New Roman"/>
          <w:sz w:val="28"/>
          <w:szCs w:val="28"/>
          <w:lang w:val="de-DE"/>
        </w:rPr>
        <w:t xml:space="preserve"> 03/2021/TT-BKHĐT 09/4/2021;</w:t>
      </w:r>
    </w:p>
    <w:p w:rsidR="002B4E89" w:rsidRDefault="002B4E89" w:rsidP="009B37FE">
      <w:pPr>
        <w:widowControl w:val="0"/>
        <w:spacing w:before="80" w:after="80" w:line="240" w:lineRule="auto"/>
        <w:ind w:firstLine="567"/>
        <w:jc w:val="both"/>
        <w:rPr>
          <w:rFonts w:ascii="Times New Roman" w:hAnsi="Times New Roman"/>
          <w:sz w:val="28"/>
          <w:szCs w:val="28"/>
          <w:lang w:val="de-DE"/>
        </w:rPr>
      </w:pPr>
      <w:r>
        <w:rPr>
          <w:rFonts w:ascii="Times New Roman" w:hAnsi="Times New Roman"/>
          <w:sz w:val="28"/>
          <w:szCs w:val="28"/>
          <w:lang w:val="de-DE"/>
        </w:rPr>
        <w:t>- Thông tư số 25/2023/TT-BKHĐT ngày 31/12/2023.</w:t>
      </w:r>
    </w:p>
    <w:p w:rsidR="009B37FE" w:rsidRPr="009B37FE" w:rsidRDefault="009B37FE" w:rsidP="009B37FE">
      <w:pPr>
        <w:widowControl w:val="0"/>
        <w:spacing w:before="80" w:after="80" w:line="240" w:lineRule="auto"/>
        <w:ind w:firstLine="567"/>
        <w:jc w:val="both"/>
        <w:rPr>
          <w:rFonts w:ascii="Times New Roman" w:hAnsi="Times New Roman"/>
          <w:b/>
          <w:i/>
          <w:sz w:val="28"/>
          <w:szCs w:val="28"/>
          <w:lang w:val="de-DE"/>
        </w:rPr>
      </w:pPr>
      <w:r w:rsidRPr="009B37FE">
        <w:rPr>
          <w:rFonts w:ascii="Times New Roman" w:hAnsi="Times New Roman"/>
          <w:b/>
          <w:i/>
          <w:sz w:val="28"/>
          <w:szCs w:val="28"/>
          <w:lang w:val="de-DE"/>
        </w:rPr>
        <w:t>(Đính kèm biểu mẫu)</w:t>
      </w:r>
    </w:p>
    <w:p w:rsidR="009B37FE" w:rsidRDefault="009B37FE">
      <w:pPr>
        <w:rPr>
          <w:lang w:val="de-DE"/>
        </w:rPr>
      </w:pPr>
    </w:p>
    <w:p w:rsidR="009B37FE" w:rsidRDefault="009B37FE">
      <w:pPr>
        <w:rPr>
          <w:lang w:val="de-DE"/>
        </w:rPr>
      </w:pPr>
    </w:p>
    <w:p w:rsidR="009B37FE" w:rsidRDefault="009B37FE">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AF1EF3" w:rsidRDefault="00AF1EF3">
      <w:pPr>
        <w:rPr>
          <w:lang w:val="de-DE"/>
        </w:rPr>
      </w:pPr>
    </w:p>
    <w:p w:rsidR="0015691D" w:rsidRDefault="0015691D">
      <w:pPr>
        <w:rPr>
          <w:lang w:val="de-DE"/>
        </w:rPr>
      </w:pPr>
    </w:p>
    <w:p w:rsidR="0015691D" w:rsidRDefault="0015691D">
      <w:pPr>
        <w:rPr>
          <w:lang w:val="de-DE"/>
        </w:rPr>
      </w:pPr>
    </w:p>
    <w:p w:rsidR="009B37FE" w:rsidRDefault="009B37FE">
      <w:pPr>
        <w:rPr>
          <w:lang w:val="de-DE"/>
        </w:rPr>
      </w:pPr>
    </w:p>
    <w:p w:rsidR="009B37FE" w:rsidRDefault="009B37FE">
      <w:pPr>
        <w:rPr>
          <w:lang w:val="de-DE"/>
        </w:rPr>
      </w:pPr>
    </w:p>
    <w:p w:rsidR="00112E7A" w:rsidRDefault="00112E7A" w:rsidP="00112E7A">
      <w:pPr>
        <w:tabs>
          <w:tab w:val="left" w:leader="dot" w:pos="9072"/>
        </w:tabs>
        <w:spacing w:before="80" w:after="80" w:line="240" w:lineRule="auto"/>
        <w:jc w:val="center"/>
        <w:outlineLvl w:val="0"/>
        <w:rPr>
          <w:rFonts w:ascii="Times New Roman" w:hAnsi="Times New Roman"/>
          <w:b/>
          <w:sz w:val="26"/>
          <w:szCs w:val="26"/>
          <w:lang w:val="sv-SE"/>
        </w:rPr>
      </w:pPr>
      <w:r>
        <w:rPr>
          <w:rFonts w:ascii="Times New Roman" w:hAnsi="Times New Roman"/>
          <w:b/>
          <w:sz w:val="26"/>
          <w:szCs w:val="26"/>
          <w:lang w:val="sv-SE"/>
        </w:rPr>
        <w:lastRenderedPageBreak/>
        <w:t>Mẫu A.I.11.c</w:t>
      </w:r>
    </w:p>
    <w:p w:rsidR="00112E7A" w:rsidRDefault="00112E7A" w:rsidP="00112E7A">
      <w:pPr>
        <w:tabs>
          <w:tab w:val="left" w:leader="dot" w:pos="9072"/>
        </w:tabs>
        <w:spacing w:before="80" w:after="80" w:line="240" w:lineRule="auto"/>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w:t>
      </w:r>
    </w:p>
    <w:p w:rsidR="00112E7A" w:rsidRDefault="00112E7A" w:rsidP="00112E7A">
      <w:pPr>
        <w:tabs>
          <w:tab w:val="left" w:leader="dot" w:pos="9072"/>
        </w:tabs>
        <w:spacing w:before="80" w:after="80" w:line="240" w:lineRule="auto"/>
        <w:jc w:val="center"/>
        <w:rPr>
          <w:rFonts w:ascii="Times New Roman" w:hAnsi="Times New Roman"/>
          <w:i/>
          <w:sz w:val="26"/>
          <w:szCs w:val="26"/>
          <w:lang w:val="pt-BR"/>
        </w:rPr>
      </w:pPr>
      <w:r>
        <w:rPr>
          <w:rFonts w:ascii="Times New Roman" w:hAnsi="Times New Roman"/>
          <w:i/>
          <w:sz w:val="26"/>
          <w:szCs w:val="26"/>
          <w:lang w:val="pt-BR"/>
        </w:rPr>
        <w:t>(Trường hợp nhà đầu tư nhận chuyển nhượng dự án là tài sản bảo đảm)</w:t>
      </w:r>
      <w:r>
        <w:rPr>
          <w:rFonts w:ascii="Times New Roman" w:hAnsi="Times New Roman"/>
          <w:i/>
          <w:sz w:val="26"/>
          <w:szCs w:val="26"/>
          <w:lang w:val="pt-BR"/>
        </w:rPr>
        <w:br/>
        <w:t>(Điều 49 Nghị định số 31/2021/NĐ-CP)</w:t>
      </w:r>
    </w:p>
    <w:p w:rsidR="00112E7A" w:rsidRDefault="00112E7A" w:rsidP="00112E7A">
      <w:pPr>
        <w:tabs>
          <w:tab w:val="left" w:leader="dot" w:pos="9072"/>
        </w:tabs>
        <w:spacing w:before="80" w:after="80" w:line="240" w:lineRule="auto"/>
        <w:ind w:firstLine="567"/>
        <w:jc w:val="center"/>
        <w:rPr>
          <w:rFonts w:ascii="Times New Roman" w:hAnsi="Times New Roman"/>
          <w:i/>
          <w:sz w:val="26"/>
          <w:szCs w:val="26"/>
          <w:lang w:val="pt-BR"/>
        </w:rPr>
      </w:pPr>
      <w:r>
        <w:rPr>
          <w:noProof/>
        </w:rPr>
        <mc:AlternateContent>
          <mc:Choice Requires="wps">
            <w:drawing>
              <wp:anchor distT="0" distB="0" distL="114300" distR="114300" simplePos="0" relativeHeight="251659264" behindDoc="0" locked="0" layoutInCell="1" allowOverlap="1" wp14:anchorId="00388224" wp14:editId="12E557BA">
                <wp:simplePos x="0" y="0"/>
                <wp:positionH relativeFrom="margin">
                  <wp:posOffset>26670</wp:posOffset>
                </wp:positionH>
                <wp:positionV relativeFrom="paragraph">
                  <wp:posOffset>83820</wp:posOffset>
                </wp:positionV>
                <wp:extent cx="5629275" cy="0"/>
                <wp:effectExtent l="0" t="0" r="9525" b="19050"/>
                <wp:wrapNone/>
                <wp:docPr id="389" name="Straight Connector 38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4FAA91" id="Straight Connector 38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7RHW3uQEAALsDAAAOAAAAAAAAAAAAAAAAAC4CAABkcnMvZTJv&#10;RG9jLnhtbFBLAQItABQABgAIAAAAIQARcHcs2wAAAAcBAAAPAAAAAAAAAAAAAAAAABMEAABkcnMv&#10;ZG93bnJldi54bWxQSwUGAAAAAAQABADzAAAAGwUAAAAA&#10;" strokecolor="black [3040]">
                <w10:wrap anchorx="margin"/>
              </v:line>
            </w:pict>
          </mc:Fallback>
        </mc:AlternateConten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r>
        <w:rPr>
          <w:noProof/>
        </w:rPr>
        <mc:AlternateContent>
          <mc:Choice Requires="wps">
            <w:drawing>
              <wp:anchor distT="0" distB="0" distL="114300" distR="114300" simplePos="0" relativeHeight="251660288" behindDoc="0" locked="0" layoutInCell="1" allowOverlap="1" wp14:anchorId="03633A57" wp14:editId="10C1CD31">
                <wp:simplePos x="0" y="0"/>
                <wp:positionH relativeFrom="column">
                  <wp:posOffset>2221230</wp:posOffset>
                </wp:positionH>
                <wp:positionV relativeFrom="paragraph">
                  <wp:posOffset>438150</wp:posOffset>
                </wp:positionV>
                <wp:extent cx="1638935" cy="0"/>
                <wp:effectExtent l="0" t="0" r="18415" b="19050"/>
                <wp:wrapNone/>
                <wp:docPr id="388" name="Straight Connector 388"/>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AF68" id="Straight Connector 3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" strokecolor="black [3040]"/>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b/>
          <w:sz w:val="26"/>
          <w:szCs w:val="26"/>
          <w:lang w:val="sv-SE"/>
        </w:rPr>
        <w:t>VĂN BẢN ĐỀ NGHỊ CHẤP THUẬN ĐIỀU CHỈNH NHÀ ĐẦU TƯ</w:t>
      </w:r>
      <w:r>
        <w:rPr>
          <w:rFonts w:ascii="Times New Roman" w:hAnsi="Times New Roman"/>
          <w:i/>
          <w:sz w:val="26"/>
          <w:szCs w:val="26"/>
          <w:lang w:val="sv-SE"/>
        </w:rPr>
        <w:t xml:space="preserve">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 xml:space="preserve">(Trong trường hợp nhà đầu tư nhận chuyển nhượng dự án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là tài sản bảo đảm)</w: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p>
    <w:p w:rsidR="00112E7A" w:rsidRDefault="00112E7A" w:rsidP="00112E7A">
      <w:pPr>
        <w:tabs>
          <w:tab w:val="left" w:leader="dot" w:pos="9072"/>
        </w:tabs>
        <w:spacing w:before="80" w:after="80" w:line="240" w:lineRule="auto"/>
        <w:ind w:firstLine="567"/>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112E7A" w:rsidRDefault="00112E7A" w:rsidP="00112E7A">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(điều chỉnh)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i/>
          <w:sz w:val="26"/>
          <w:szCs w:val="26"/>
          <w:lang w:val="sv-SE"/>
        </w:rPr>
        <w:t xml:space="preserve">(số, ngày cấp, cơ quan cấp) </w:t>
      </w:r>
      <w:r>
        <w:rPr>
          <w:rFonts w:ascii="Times New Roman" w:hAnsi="Times New Roman"/>
          <w:sz w:val="26"/>
          <w:szCs w:val="26"/>
          <w:lang w:val="sv-SE"/>
        </w:rPr>
        <w:t>với các nội dung như sau:</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I. BÊN NHẬN BẢO ĐẢM</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1. Bên nhận bảo đảm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2. Bên nhận bảo đảm là tổ chức tín dụng / 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tổ chức tín dụng /tổ ch</w:t>
      </w:r>
      <w:r>
        <w:rPr>
          <w:rFonts w:ascii="Times New Roman" w:hAnsi="Times New Roman"/>
          <w:sz w:val="26"/>
          <w:szCs w:val="26"/>
          <w:lang w:val="sv-SE"/>
        </w:rPr>
        <w:t>ức</w:t>
      </w:r>
      <w:r>
        <w:rPr>
          <w:rFonts w:ascii="Times New Roman" w:hAnsi="Times New Roman"/>
          <w:b/>
          <w:i/>
          <w:sz w:val="26"/>
          <w:szCs w:val="26"/>
          <w:lang w:val="sv-SE"/>
        </w:rPr>
        <w:t>,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t>.......</w:t>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lastRenderedPageBreak/>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Bên nhận bảo đảm tiếp theo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NHÀ ĐẦU TƯ NHẬN CHUYỂN NHƯỢNG </w:t>
      </w:r>
    </w:p>
    <w:p w:rsidR="00112E7A" w:rsidRDefault="00112E7A" w:rsidP="00112E7A">
      <w:pPr>
        <w:tabs>
          <w:tab w:val="left" w:leader="dot" w:pos="9072"/>
        </w:tabs>
        <w:spacing w:before="60" w:after="60" w:line="240" w:lineRule="auto"/>
        <w:ind w:firstLine="567"/>
        <w:jc w:val="both"/>
        <w:rPr>
          <w:rFonts w:ascii="Times New Roman" w:hAnsi="Times New Roman"/>
          <w:b/>
          <w:i/>
          <w:sz w:val="26"/>
          <w:szCs w:val="26"/>
          <w:u w:val="single"/>
          <w:lang w:val="sv-SE"/>
        </w:rPr>
      </w:pPr>
      <w:r>
        <w:rPr>
          <w:rFonts w:ascii="Times New Roman" w:hAnsi="Times New Roman"/>
          <w:b/>
          <w:sz w:val="26"/>
          <w:szCs w:val="26"/>
          <w:lang w:val="sv-SE"/>
        </w:rPr>
        <w:t>1. Đối với nhà đầu tư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3"/>
        <w:t>3</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lang w:val="pt-BR"/>
        </w:rPr>
        <w:footnoteReference w:customMarkFollows="1" w:id="4"/>
        <w:t>4</w:t>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Nhà đầu tư tiếp theo</w:t>
      </w:r>
      <w:r>
        <w:rPr>
          <w:rFonts w:ascii="Times New Roman" w:hAnsi="Times New Roman"/>
          <w:b/>
          <w:i/>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CHUYỂN NHƯỢNG CỦA DỰ ÁN ĐẦU TƯ</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44"/>
        <w:gridCol w:w="1168"/>
        <w:gridCol w:w="1503"/>
        <w:gridCol w:w="1440"/>
        <w:gridCol w:w="1531"/>
        <w:gridCol w:w="2977"/>
      </w:tblGrid>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b/>
                <w:sz w:val="26"/>
                <w:szCs w:val="26"/>
              </w:rPr>
            </w:pPr>
            <w:r>
              <w:rPr>
                <w:rFonts w:ascii="Times New Roman" w:hAnsi="Times New Roman"/>
                <w:b/>
                <w:sz w:val="26"/>
                <w:szCs w:val="26"/>
              </w:rPr>
              <w:t>Ghi chú</w:t>
            </w:r>
          </w:p>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i/>
                <w:sz w:val="26"/>
                <w:szCs w:val="26"/>
              </w:rPr>
              <w:t>(Còn hoặc hết hiệu lực)</w:t>
            </w:r>
          </w:p>
        </w:tc>
      </w:tr>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r>
    </w:tbl>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 2. Nội dung dự án đầu tư</w:t>
      </w:r>
      <w:r>
        <w:rPr>
          <w:rFonts w:ascii="Times New Roman" w:hAnsi="Times New Roman"/>
          <w:sz w:val="26"/>
          <w:szCs w:val="26"/>
          <w:lang w:val="sv-SE"/>
        </w:rPr>
        <w:t>:</w:t>
      </w:r>
    </w:p>
    <w:p w:rsidR="00112E7A" w:rsidRDefault="00112E7A" w:rsidP="00112E7A">
      <w:pPr>
        <w:tabs>
          <w:tab w:val="left" w:leader="dot" w:pos="9072"/>
        </w:tabs>
        <w:spacing w:before="60" w:after="60" w:line="240" w:lineRule="auto"/>
        <w:ind w:firstLine="567"/>
        <w:rPr>
          <w:rFonts w:ascii="Times New Roman" w:hAnsi="Times New Roman"/>
          <w:color w:val="000000"/>
          <w:sz w:val="26"/>
          <w:szCs w:val="26"/>
          <w:lang w:val="vi-VN"/>
        </w:rPr>
      </w:pPr>
      <w:r w:rsidRPr="00C36BDB">
        <w:rPr>
          <w:rFonts w:ascii="Times New Roman" w:hAnsi="Times New Roman"/>
          <w:color w:val="000000"/>
          <w:sz w:val="26"/>
          <w:szCs w:val="26"/>
          <w:lang w:val="sv-SE"/>
        </w:rPr>
        <w:t>-</w:t>
      </w: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Mục tiêu:</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Tổng vốn đầu tư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Quy mô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Địa điểm: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Tiến độ :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Thời hạn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Tóm tắt tình hình triển khai dự án: </w:t>
      </w:r>
      <w:r w:rsidRPr="00C36BDB">
        <w:rPr>
          <w:rFonts w:ascii="Times New Roman" w:hAnsi="Times New Roman"/>
          <w:color w:val="000000"/>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IV. GIẢI TRÌNH VỀ VIỆC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Lý do, cơ sở đề nghị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Pr>
          <w:rFonts w:ascii="Times New Roman" w:hAnsi="Times New Roman"/>
          <w:i/>
          <w:sz w:val="26"/>
          <w:szCs w:val="26"/>
          <w:lang w:val="sv-SE"/>
        </w:rPr>
        <w:t>(nếu có)</w:t>
      </w:r>
      <w:r>
        <w:rPr>
          <w:rFonts w:ascii="Times New Roman" w:hAnsi="Times New Roman"/>
          <w:b/>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 CÁC NHÀ ĐẦU TƯ CAM KẾT:</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49 Nghị định số 31/2021/NĐ-CP. </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khác có liên quan </w:t>
      </w:r>
      <w:r>
        <w:rPr>
          <w:rFonts w:ascii="Times New Roman" w:hAnsi="Times New Roman"/>
          <w:i/>
          <w:sz w:val="26"/>
          <w:szCs w:val="26"/>
          <w:lang w:val="sv-SE"/>
        </w:rPr>
        <w:t>(nếu có).</w:t>
      </w:r>
    </w:p>
    <w:tbl>
      <w:tblPr>
        <w:tblW w:w="0" w:type="auto"/>
        <w:tblCellMar>
          <w:left w:w="10" w:type="dxa"/>
          <w:right w:w="10" w:type="dxa"/>
        </w:tblCellMar>
        <w:tblLook w:val="04A0" w:firstRow="1" w:lastRow="0" w:firstColumn="1" w:lastColumn="0" w:noHBand="0" w:noVBand="1"/>
      </w:tblPr>
      <w:tblGrid>
        <w:gridCol w:w="4287"/>
        <w:gridCol w:w="5284"/>
      </w:tblGrid>
      <w:tr w:rsidR="00112E7A" w:rsidRPr="00AF1EF3" w:rsidTr="0063781F">
        <w:trPr>
          <w:trHeight w:val="1674"/>
        </w:trPr>
        <w:tc>
          <w:tcPr>
            <w:tcW w:w="4361" w:type="dxa"/>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b/>
                <w:sz w:val="26"/>
                <w:szCs w:val="26"/>
                <w:lang w:val="pt-BR"/>
              </w:rPr>
              <w:t>Nhà đầu tư nhận chuyển nhượng</w:t>
            </w:r>
          </w:p>
          <w:p w:rsidR="00112E7A" w:rsidRDefault="00112E7A" w:rsidP="00112E7A">
            <w:pPr>
              <w:tabs>
                <w:tab w:val="left" w:leader="dot" w:pos="9072"/>
              </w:tabs>
              <w:spacing w:before="60" w:after="60" w:line="240" w:lineRule="auto"/>
              <w:jc w:val="both"/>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386" w:type="dxa"/>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 ngày ….. tháng ….. năm …</w:t>
            </w:r>
          </w:p>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r>
              <w:rPr>
                <w:rFonts w:ascii="Times New Roman" w:hAnsi="Times New Roman"/>
                <w:b/>
                <w:sz w:val="26"/>
                <w:szCs w:val="26"/>
                <w:lang w:val="pt-BR"/>
              </w:rPr>
              <w:t>Bên nhận bảo đảm</w:t>
            </w: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112E7A" w:rsidRDefault="00112E7A" w:rsidP="00112E7A">
      <w:pPr>
        <w:spacing w:before="60" w:after="60" w:line="240" w:lineRule="auto"/>
        <w:jc w:val="center"/>
        <w:rPr>
          <w:rFonts w:ascii="Times New Roman" w:hAnsi="Times New Roman"/>
          <w:b/>
          <w:sz w:val="26"/>
          <w:szCs w:val="26"/>
          <w:lang w:val="sv-SE"/>
        </w:rPr>
      </w:pPr>
    </w:p>
    <w:p w:rsidR="009B37FE" w:rsidRPr="000E6BF4" w:rsidRDefault="009B37FE" w:rsidP="0015691D">
      <w:pPr>
        <w:spacing w:before="60" w:after="60" w:line="240" w:lineRule="auto"/>
        <w:rPr>
          <w:rFonts w:ascii="Times New Roman" w:hAnsi="Times New Roman"/>
          <w:b/>
          <w:sz w:val="26"/>
          <w:szCs w:val="26"/>
          <w:lang w:val="nb-NO"/>
        </w:rPr>
      </w:pPr>
      <w:bookmarkStart w:id="0" w:name="_GoBack"/>
      <w:bookmarkEnd w:id="0"/>
    </w:p>
    <w:sectPr w:rsidR="009B37FE" w:rsidRPr="000E6BF4" w:rsidSect="00E1635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D7" w:rsidRDefault="003E44D7" w:rsidP="009B37FE">
      <w:pPr>
        <w:spacing w:after="0" w:line="240" w:lineRule="auto"/>
      </w:pPr>
      <w:r>
        <w:separator/>
      </w:r>
    </w:p>
  </w:endnote>
  <w:endnote w:type="continuationSeparator" w:id="0">
    <w:p w:rsidR="003E44D7" w:rsidRDefault="003E44D7" w:rsidP="009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D7" w:rsidRDefault="003E44D7" w:rsidP="009B37FE">
      <w:pPr>
        <w:spacing w:after="0" w:line="240" w:lineRule="auto"/>
      </w:pPr>
      <w:r>
        <w:separator/>
      </w:r>
    </w:p>
  </w:footnote>
  <w:footnote w:type="continuationSeparator" w:id="0">
    <w:p w:rsidR="003E44D7" w:rsidRDefault="003E44D7" w:rsidP="009B37FE">
      <w:pPr>
        <w:spacing w:after="0" w:line="240" w:lineRule="auto"/>
      </w:pPr>
      <w:r>
        <w:continuationSeparator/>
      </w:r>
    </w:p>
  </w:footnote>
  <w:footnote w:id="1">
    <w:p w:rsidR="00112E7A" w:rsidRPr="00C36BDB" w:rsidRDefault="00112E7A" w:rsidP="00112E7A">
      <w:pPr>
        <w:pStyle w:val="FootnoteText"/>
        <w:jc w:val="both"/>
        <w:rPr>
          <w:lang w:val="vi-VN"/>
        </w:rPr>
      </w:pPr>
      <w:r>
        <w:rPr>
          <w:rStyle w:val="FootnoteReference"/>
        </w:rPr>
        <w:footnoteRef/>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112E7A" w:rsidRPr="00C36BDB" w:rsidRDefault="00112E7A" w:rsidP="00112E7A">
      <w:pPr>
        <w:pStyle w:val="FootnoteText"/>
        <w:jc w:val="both"/>
        <w:rPr>
          <w:spacing w:val="-4"/>
          <w:lang w:val="vi-VN"/>
        </w:rPr>
      </w:pPr>
      <w:r>
        <w:rPr>
          <w:rStyle w:val="FootnoteReference"/>
          <w:spacing w:val="-4"/>
        </w:rPr>
        <w:footnoteRef/>
      </w:r>
      <w:r w:rsidRPr="00C36BDB">
        <w:rPr>
          <w:spacing w:val="-4"/>
          <w:lang w:val="vi-VN"/>
        </w:rPr>
        <w:t xml:space="preserve"> </w:t>
      </w:r>
      <w:r w:rsidRPr="00C36BDB">
        <w:rPr>
          <w:spacing w:val="-4"/>
          <w:lang w:val="vi-VN"/>
        </w:rPr>
        <w:t>Là một trong các loại giấy tờ sau: Quyết định thành lập, Giấy chứng nhận đăng ký doanh nghiệp, tài liệu tương đương khác.</w:t>
      </w:r>
    </w:p>
  </w:footnote>
  <w:footnote w:id="3">
    <w:p w:rsidR="00112E7A" w:rsidRPr="00C36BDB" w:rsidRDefault="00112E7A" w:rsidP="00112E7A">
      <w:pPr>
        <w:pStyle w:val="FootnoteText"/>
        <w:jc w:val="both"/>
        <w:rPr>
          <w:lang w:val="vi-VN"/>
        </w:rPr>
      </w:pPr>
      <w:r w:rsidRPr="00C36BDB">
        <w:rPr>
          <w:rStyle w:val="FootnoteReference"/>
          <w:lang w:val="vi-VN"/>
        </w:rPr>
        <w:t>3</w:t>
      </w:r>
      <w:r w:rsidRPr="00C36BDB">
        <w:rPr>
          <w:lang w:val="vi-VN"/>
        </w:rPr>
        <w:t xml:space="preserve"> </w:t>
      </w:r>
      <w:r w:rsidRPr="00C36BDB">
        <w:rPr>
          <w:lang w:val="vi-VN"/>
        </w:rPr>
        <w:t>Là một trong các loại giấy tờ sau: Định danh cá nhân, thẻ Căn cước công dân, Giấy chứng minh nhân dân, Hộ chiếu, giấy tờ chứng thực cá nhân hợp pháp khác.</w:t>
      </w:r>
    </w:p>
  </w:footnote>
  <w:footnote w:id="4">
    <w:p w:rsidR="00112E7A" w:rsidRPr="00C36BDB" w:rsidRDefault="00112E7A" w:rsidP="00112E7A">
      <w:pPr>
        <w:pStyle w:val="FootnoteText"/>
        <w:jc w:val="both"/>
        <w:rPr>
          <w:spacing w:val="-4"/>
          <w:lang w:val="vi-VN"/>
        </w:rPr>
      </w:pPr>
      <w:r w:rsidRPr="00C36BDB">
        <w:rPr>
          <w:rStyle w:val="FootnoteReference"/>
          <w:spacing w:val="-4"/>
          <w:lang w:val="vi-VN"/>
        </w:rPr>
        <w:t>4</w:t>
      </w:r>
      <w:r w:rsidRPr="00C36BDB">
        <w:rPr>
          <w:spacing w:val="-4"/>
          <w:lang w:val="vi-VN"/>
        </w:rPr>
        <w:t xml:space="preserve"> </w:t>
      </w:r>
      <w:r w:rsidRPr="00C36BDB">
        <w:rPr>
          <w:spacing w:val="-4"/>
          <w:lang w:val="vi-VN"/>
        </w:rPr>
        <w:t>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E"/>
    <w:rsid w:val="00057F4D"/>
    <w:rsid w:val="000C309D"/>
    <w:rsid w:val="00112E7A"/>
    <w:rsid w:val="0015691D"/>
    <w:rsid w:val="00232825"/>
    <w:rsid w:val="002B4E89"/>
    <w:rsid w:val="00390910"/>
    <w:rsid w:val="003C62C7"/>
    <w:rsid w:val="003E44D7"/>
    <w:rsid w:val="004D395E"/>
    <w:rsid w:val="005E181E"/>
    <w:rsid w:val="006F0F2B"/>
    <w:rsid w:val="00741A69"/>
    <w:rsid w:val="008140C3"/>
    <w:rsid w:val="009B37FE"/>
    <w:rsid w:val="009C7585"/>
    <w:rsid w:val="00A439BB"/>
    <w:rsid w:val="00AF1EF3"/>
    <w:rsid w:val="00C04DD8"/>
    <w:rsid w:val="00C05F2C"/>
    <w:rsid w:val="00D22055"/>
    <w:rsid w:val="00D23825"/>
    <w:rsid w:val="00DF6226"/>
    <w:rsid w:val="00E16350"/>
    <w:rsid w:val="00EB7CFE"/>
    <w:rsid w:val="00FD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FB5E"/>
  <w15:docId w15:val="{35DAC871-9C1A-4F6E-B246-A6E37647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7FE"/>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9B37FE"/>
    <w:rPr>
      <w:vertAlign w:val="superscript"/>
    </w:rPr>
  </w:style>
  <w:style w:type="paragraph" w:styleId="FootnoteText">
    <w:name w:val="footnote text"/>
    <w:basedOn w:val="Normal"/>
    <w:link w:val="FootnoteTextChar"/>
    <w:uiPriority w:val="99"/>
    <w:unhideWhenUsed/>
    <w:rsid w:val="009B37F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B37FE"/>
    <w:rPr>
      <w:rFonts w:eastAsia="Times New Roman" w:cs="Times New Roman"/>
      <w:sz w:val="20"/>
      <w:szCs w:val="20"/>
    </w:rPr>
  </w:style>
  <w:style w:type="paragraph" w:styleId="BalloonText">
    <w:name w:val="Balloon Text"/>
    <w:basedOn w:val="Normal"/>
    <w:link w:val="BalloonTextChar"/>
    <w:uiPriority w:val="99"/>
    <w:semiHidden/>
    <w:unhideWhenUsed/>
    <w:rsid w:val="00E1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5BAE8A9-6CA7-4D69-ADC5-D43ED26A26D5}"/>
</file>

<file path=customXml/itemProps2.xml><?xml version="1.0" encoding="utf-8"?>
<ds:datastoreItem xmlns:ds="http://schemas.openxmlformats.org/officeDocument/2006/customXml" ds:itemID="{782F064A-031A-4D3F-97FC-23D567C79BD7}"/>
</file>

<file path=customXml/itemProps3.xml><?xml version="1.0" encoding="utf-8"?>
<ds:datastoreItem xmlns:ds="http://schemas.openxmlformats.org/officeDocument/2006/customXml" ds:itemID="{D89190CC-5CD5-416B-8B5D-7726224B0FA2}"/>
</file>

<file path=docProps/app.xml><?xml version="1.0" encoding="utf-8"?>
<Properties xmlns="http://schemas.openxmlformats.org/officeDocument/2006/extended-properties" xmlns:vt="http://schemas.openxmlformats.org/officeDocument/2006/docPropsVTypes">
  <Template>Normal</Template>
  <TotalTime>24</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14</cp:revision>
  <cp:lastPrinted>2021-07-02T02:42:00Z</cp:lastPrinted>
  <dcterms:created xsi:type="dcterms:W3CDTF">2021-05-28T07:55:00Z</dcterms:created>
  <dcterms:modified xsi:type="dcterms:W3CDTF">2024-11-25T08:18:00Z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